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9C" w:rsidRPr="00A0734F" w:rsidRDefault="005667A2" w:rsidP="005D662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734F">
        <w:rPr>
          <w:rFonts w:cstheme="minorHAnsi"/>
          <w:b/>
          <w:bCs/>
          <w:color w:val="000000"/>
          <w:sz w:val="28"/>
          <w:szCs w:val="28"/>
          <w:lang w:val="ru-RU"/>
        </w:rPr>
        <w:t>Основные положения учетной политики</w:t>
      </w:r>
      <w:r w:rsidR="00FC1D6A" w:rsidRPr="00A0734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 202</w:t>
      </w:r>
      <w:r w:rsidR="000240D4" w:rsidRPr="00A0734F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="00FC1D6A" w:rsidRPr="00A0734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года</w:t>
      </w:r>
      <w:r w:rsidRPr="00A0734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(выдержки)</w:t>
      </w:r>
    </w:p>
    <w:p w:rsidR="00946A9C" w:rsidRPr="00A0734F" w:rsidRDefault="00E90ED5" w:rsidP="005D662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734F">
        <w:rPr>
          <w:rFonts w:cstheme="minorHAnsi"/>
          <w:b/>
          <w:bCs/>
          <w:color w:val="000000"/>
          <w:sz w:val="28"/>
          <w:szCs w:val="28"/>
          <w:lang w:val="ru-RU"/>
        </w:rPr>
        <w:t>ККТК ГБУ</w:t>
      </w:r>
    </w:p>
    <w:p w:rsidR="00946A9C" w:rsidRPr="00A0734F" w:rsidRDefault="005667A2" w:rsidP="005076CF">
      <w:pPr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734F">
        <w:rPr>
          <w:rFonts w:cstheme="minorHAnsi"/>
          <w:color w:val="000000"/>
          <w:sz w:val="28"/>
          <w:szCs w:val="28"/>
          <w:lang w:val="ru-RU"/>
        </w:rPr>
        <w:t>В соответствии с требованиями пункта 9 Стандарта «Учетная политика, оценочные значения и ошибки», утвержденного приказом Минфина от 30.12.2017 № 274н, на официальном сайте учреждения размещается информация об учетной политике.</w:t>
      </w:r>
    </w:p>
    <w:p w:rsidR="00946A9C" w:rsidRDefault="006D0D72" w:rsidP="00662C64">
      <w:pPr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A0734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Учетную политику ККТК ГБУ в редакции согласно Приложения № 1 к приказу </w:t>
      </w:r>
      <w:r w:rsidR="005667A2" w:rsidRPr="00A07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</w:t>
      </w:r>
      <w:r w:rsidRPr="00A0734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5667A2" w:rsidRPr="00A0734F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.12.202</w:t>
      </w:r>
      <w:r w:rsidRPr="00A0734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5667A2" w:rsidRPr="00A07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A7008D" w:rsidRPr="00A07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34F">
        <w:rPr>
          <w:rFonts w:ascii="Times New Roman" w:hAnsi="Times New Roman" w:cs="Times New Roman"/>
          <w:color w:val="000000"/>
          <w:sz w:val="28"/>
          <w:szCs w:val="28"/>
          <w:lang w:val="ru-RU"/>
        </w:rPr>
        <w:t>182: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4597E">
        <w:rPr>
          <w:sz w:val="28"/>
          <w:szCs w:val="28"/>
          <w:lang w:val="ru-RU"/>
        </w:rPr>
        <w:t>Учетная политика государственного бюджетного учреждения культуры Краснодарского края «Краснодарский краевой театр кукол» (далее – Учреждение) для целей бухгалтерского учёта является внутренним документом, определяющим ведение бухгалтерского учёта Учреждения исходя из особенностей деятельности и выполняемых полномочий.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lang w:val="ru-RU"/>
        </w:rPr>
      </w:pPr>
      <w:r w:rsidRPr="0074597E">
        <w:rPr>
          <w:sz w:val="28"/>
          <w:szCs w:val="28"/>
          <w:lang w:val="ru-RU"/>
        </w:rPr>
        <w:t xml:space="preserve">2. </w:t>
      </w:r>
      <w:r w:rsidRPr="0074597E">
        <w:rPr>
          <w:sz w:val="28"/>
          <w:lang w:val="ru-RU"/>
        </w:rPr>
        <w:t xml:space="preserve">Государственное </w:t>
      </w:r>
      <w:proofErr w:type="gramStart"/>
      <w:r w:rsidRPr="0074597E">
        <w:rPr>
          <w:sz w:val="28"/>
          <w:lang w:val="ru-RU"/>
        </w:rPr>
        <w:t>бюджетное  учреждение</w:t>
      </w:r>
      <w:proofErr w:type="gramEnd"/>
      <w:r w:rsidRPr="0074597E">
        <w:rPr>
          <w:sz w:val="28"/>
          <w:lang w:val="ru-RU"/>
        </w:rPr>
        <w:t xml:space="preserve"> культуры Краснодарского края «Краснодарский краевой театр кукол» (далее Учреждение) является некоммерческой организацией. Учреждение не является участником бюджетного процесса, является юридическим лицом и действует в соответствии с </w:t>
      </w:r>
      <w:proofErr w:type="gramStart"/>
      <w:r w:rsidRPr="0074597E">
        <w:rPr>
          <w:sz w:val="28"/>
          <w:lang w:val="ru-RU"/>
        </w:rPr>
        <w:t>действующим  законодательством</w:t>
      </w:r>
      <w:proofErr w:type="gramEnd"/>
      <w:r w:rsidRPr="0074597E">
        <w:rPr>
          <w:sz w:val="28"/>
          <w:lang w:val="ru-RU"/>
        </w:rPr>
        <w:t xml:space="preserve">  Российской федерации и Уставом.</w:t>
      </w:r>
    </w:p>
    <w:p w:rsidR="0074597E" w:rsidRPr="0074597E" w:rsidRDefault="0074597E" w:rsidP="00662C64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ru-RU"/>
        </w:rPr>
      </w:pPr>
      <w:r w:rsidRPr="0074597E">
        <w:rPr>
          <w:rFonts w:eastAsia="Calibri"/>
          <w:sz w:val="28"/>
          <w:szCs w:val="28"/>
          <w:lang w:val="ru-RU"/>
        </w:rPr>
        <w:t>Организационно-правовая форма: государственное учреждение.</w:t>
      </w:r>
    </w:p>
    <w:p w:rsidR="0074597E" w:rsidRPr="0074597E" w:rsidRDefault="0074597E" w:rsidP="00662C64">
      <w:pPr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 xml:space="preserve">ИНН </w:t>
      </w:r>
      <w:r w:rsidRPr="0074597E">
        <w:rPr>
          <w:rFonts w:eastAsia="Calibri"/>
          <w:sz w:val="28"/>
          <w:szCs w:val="28"/>
          <w:lang w:val="ru-RU"/>
        </w:rPr>
        <w:t>2308040264</w:t>
      </w:r>
      <w:r w:rsidRPr="0074597E">
        <w:rPr>
          <w:sz w:val="28"/>
          <w:szCs w:val="28"/>
          <w:lang w:val="ru-RU"/>
        </w:rPr>
        <w:t xml:space="preserve">/КПП </w:t>
      </w:r>
      <w:r w:rsidRPr="0074597E">
        <w:rPr>
          <w:rFonts w:eastAsia="Calibri"/>
          <w:sz w:val="28"/>
          <w:szCs w:val="28"/>
          <w:lang w:val="ru-RU"/>
        </w:rPr>
        <w:t>230801001</w:t>
      </w:r>
    </w:p>
    <w:p w:rsidR="0074597E" w:rsidRPr="0074597E" w:rsidRDefault="0074597E" w:rsidP="00662C64">
      <w:pPr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ru-RU"/>
        </w:rPr>
      </w:pPr>
      <w:r w:rsidRPr="0074597E">
        <w:rPr>
          <w:rFonts w:eastAsia="Calibri"/>
          <w:sz w:val="28"/>
          <w:szCs w:val="28"/>
          <w:lang w:val="ru-RU"/>
        </w:rPr>
        <w:t>ОКПО 02190708</w:t>
      </w:r>
    </w:p>
    <w:p w:rsidR="0074597E" w:rsidRPr="0074597E" w:rsidRDefault="0074597E" w:rsidP="00662C64">
      <w:pPr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ru-RU"/>
        </w:rPr>
      </w:pPr>
      <w:r w:rsidRPr="0074597E">
        <w:rPr>
          <w:rFonts w:eastAsia="Calibri"/>
          <w:sz w:val="28"/>
          <w:szCs w:val="28"/>
          <w:lang w:val="ru-RU"/>
        </w:rPr>
        <w:t>ОГРН 1022301214374</w:t>
      </w:r>
    </w:p>
    <w:p w:rsidR="0074597E" w:rsidRPr="0074597E" w:rsidRDefault="0074597E" w:rsidP="00662C64">
      <w:pPr>
        <w:spacing w:before="0" w:beforeAutospacing="0" w:after="0" w:afterAutospacing="0" w:line="276" w:lineRule="auto"/>
        <w:ind w:firstLine="708"/>
        <w:jc w:val="both"/>
        <w:rPr>
          <w:sz w:val="36"/>
          <w:szCs w:val="28"/>
          <w:lang w:val="ru-RU"/>
        </w:rPr>
      </w:pPr>
      <w:r w:rsidRPr="0074597E">
        <w:rPr>
          <w:sz w:val="28"/>
          <w:lang w:val="ru-RU"/>
        </w:rPr>
        <w:t>ОКВЭД 90.01 Деятельность в области исполнительских искусств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>3. Организацию бухгалтерского учёта Учреждение осуществляет в соответствии со следующими нормативными правовыми актами: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>- Бюджетный кодекс Российской Федерации;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>- Налоговый кодекс Российской Федерации;</w:t>
      </w:r>
    </w:p>
    <w:p w:rsidR="0074597E" w:rsidRPr="00F46E94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6E94">
        <w:rPr>
          <w:sz w:val="28"/>
          <w:szCs w:val="28"/>
        </w:rPr>
        <w:t xml:space="preserve">- </w:t>
      </w:r>
      <w:proofErr w:type="spellStart"/>
      <w:r w:rsidRPr="00F46E94">
        <w:rPr>
          <w:sz w:val="28"/>
          <w:szCs w:val="28"/>
        </w:rPr>
        <w:t>Гражданский</w:t>
      </w:r>
      <w:proofErr w:type="spellEnd"/>
      <w:r w:rsidRPr="00F46E94">
        <w:rPr>
          <w:sz w:val="28"/>
          <w:szCs w:val="28"/>
        </w:rPr>
        <w:t xml:space="preserve"> </w:t>
      </w:r>
      <w:proofErr w:type="spellStart"/>
      <w:r w:rsidRPr="00F46E94">
        <w:rPr>
          <w:sz w:val="28"/>
          <w:szCs w:val="28"/>
        </w:rPr>
        <w:t>кодекс</w:t>
      </w:r>
      <w:proofErr w:type="spellEnd"/>
      <w:r w:rsidRPr="00F46E94">
        <w:rPr>
          <w:sz w:val="28"/>
          <w:szCs w:val="28"/>
        </w:rPr>
        <w:t xml:space="preserve"> </w:t>
      </w:r>
      <w:proofErr w:type="spellStart"/>
      <w:r w:rsidRPr="00F46E94">
        <w:rPr>
          <w:sz w:val="28"/>
          <w:szCs w:val="28"/>
        </w:rPr>
        <w:t>Российской</w:t>
      </w:r>
      <w:proofErr w:type="spellEnd"/>
      <w:r w:rsidRPr="00F46E94">
        <w:rPr>
          <w:sz w:val="28"/>
          <w:szCs w:val="28"/>
        </w:rPr>
        <w:t xml:space="preserve"> </w:t>
      </w:r>
      <w:proofErr w:type="spellStart"/>
      <w:r w:rsidRPr="00F46E94">
        <w:rPr>
          <w:sz w:val="28"/>
          <w:szCs w:val="28"/>
        </w:rPr>
        <w:t>Федерации</w:t>
      </w:r>
      <w:proofErr w:type="spellEnd"/>
      <w:r w:rsidRPr="00F46E94">
        <w:rPr>
          <w:sz w:val="28"/>
          <w:szCs w:val="28"/>
        </w:rPr>
        <w:t>;</w:t>
      </w:r>
    </w:p>
    <w:p w:rsidR="0074597E" w:rsidRPr="00F46E94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6E94">
        <w:rPr>
          <w:sz w:val="28"/>
          <w:szCs w:val="28"/>
        </w:rPr>
        <w:t xml:space="preserve">- </w:t>
      </w:r>
      <w:proofErr w:type="spellStart"/>
      <w:r w:rsidRPr="00F46E94">
        <w:rPr>
          <w:sz w:val="28"/>
          <w:szCs w:val="28"/>
        </w:rPr>
        <w:t>Трудовой</w:t>
      </w:r>
      <w:proofErr w:type="spellEnd"/>
      <w:r w:rsidRPr="00F46E94">
        <w:rPr>
          <w:sz w:val="28"/>
          <w:szCs w:val="28"/>
        </w:rPr>
        <w:t xml:space="preserve"> </w:t>
      </w:r>
      <w:proofErr w:type="spellStart"/>
      <w:r w:rsidRPr="00F46E94">
        <w:rPr>
          <w:sz w:val="28"/>
          <w:szCs w:val="28"/>
        </w:rPr>
        <w:t>кодекс</w:t>
      </w:r>
      <w:proofErr w:type="spellEnd"/>
      <w:r w:rsidRPr="00F46E94">
        <w:rPr>
          <w:sz w:val="28"/>
          <w:szCs w:val="28"/>
        </w:rPr>
        <w:t xml:space="preserve"> </w:t>
      </w:r>
      <w:proofErr w:type="spellStart"/>
      <w:r w:rsidRPr="00F46E94">
        <w:rPr>
          <w:sz w:val="28"/>
          <w:szCs w:val="28"/>
        </w:rPr>
        <w:t>Российской</w:t>
      </w:r>
      <w:proofErr w:type="spellEnd"/>
      <w:r w:rsidRPr="00F46E94">
        <w:rPr>
          <w:sz w:val="28"/>
          <w:szCs w:val="28"/>
        </w:rPr>
        <w:t xml:space="preserve"> </w:t>
      </w:r>
      <w:proofErr w:type="spellStart"/>
      <w:r w:rsidRPr="00F46E94">
        <w:rPr>
          <w:sz w:val="28"/>
          <w:szCs w:val="28"/>
        </w:rPr>
        <w:t>Федерации</w:t>
      </w:r>
      <w:proofErr w:type="spellEnd"/>
      <w:r w:rsidRPr="00F46E94">
        <w:rPr>
          <w:sz w:val="28"/>
          <w:szCs w:val="28"/>
        </w:rPr>
        <w:t>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>- Федеральный закон от 06.12.2011 № 402-ФЗ «О бухгалтерском учёте»;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>- приказ Минфина от 01.12.2010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№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– Инструкции к Единому плану счетов № 157н);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lastRenderedPageBreak/>
        <w:t>- приказ Минфина от 16.12.2010 №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174н «Об утверждении Плана счетов бухгалтерского учета бюджетных учреждений и Инструкции по его применению» (далее – Инструкция №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174н);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shd w:val="clear" w:color="auto" w:fill="FFFFFF"/>
          <w:lang w:val="ru-RU"/>
        </w:rPr>
        <w:t xml:space="preserve"> - 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shd w:val="clear" w:color="auto" w:fill="FFFFFF"/>
          <w:lang w:val="ru-RU"/>
        </w:rPr>
        <w:t>- приказом Минфина от 29.11.2017 № 209н «Об утверждении Порядка применения классификации операций сектора государственного управления» (далее – приказ № 209н);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>- приказом Минфина от 30.03.2015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№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– приказ №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52н);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>- приказом Минфина от 15.04.2021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№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61н «Об утверждении форм электронных документов бухгалтерского учёта, применяемых при ведении бюджетного учёта, бухгалтерского учёта государственных (муниципальных) учреждений, и Методических указаний по их формированию и применению»;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t xml:space="preserve">- 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</w:t>
      </w:r>
      <w:r w:rsidRPr="0074597E">
        <w:rPr>
          <w:sz w:val="28"/>
          <w:szCs w:val="28"/>
          <w:shd w:val="clear" w:color="auto" w:fill="FFFFFF"/>
          <w:lang w:val="ru-RU"/>
        </w:rPr>
        <w:t xml:space="preserve">от 30.12.2017 </w:t>
      </w:r>
      <w:r w:rsidRPr="0074597E">
        <w:rPr>
          <w:sz w:val="28"/>
          <w:szCs w:val="28"/>
          <w:lang w:val="ru-RU"/>
        </w:rPr>
        <w:t>№ 274н, 275н, 278н (далее – соответственно СГС «Учетная</w:t>
      </w:r>
      <w:r w:rsidRPr="00F46E94">
        <w:rPr>
          <w:sz w:val="28"/>
          <w:szCs w:val="28"/>
        </w:rPr>
        <w:t> </w:t>
      </w:r>
      <w:r w:rsidRPr="0074597E">
        <w:rPr>
          <w:sz w:val="28"/>
          <w:szCs w:val="28"/>
          <w:lang w:val="ru-RU"/>
        </w:rPr>
        <w:t>политика, оценочные значения и ошибки», СГС «</w:t>
      </w:r>
      <w:r w:rsidRPr="0074597E">
        <w:rPr>
          <w:sz w:val="28"/>
          <w:szCs w:val="28"/>
          <w:shd w:val="clear" w:color="auto" w:fill="FFFFFF"/>
          <w:lang w:val="ru-RU"/>
        </w:rPr>
        <w:t>События после отчетной даты</w:t>
      </w:r>
      <w:r w:rsidRPr="0074597E">
        <w:rPr>
          <w:sz w:val="28"/>
          <w:szCs w:val="28"/>
          <w:lang w:val="ru-RU"/>
        </w:rPr>
        <w:t>», СГС «</w:t>
      </w:r>
      <w:r w:rsidRPr="0074597E">
        <w:rPr>
          <w:sz w:val="28"/>
          <w:szCs w:val="28"/>
          <w:shd w:val="clear" w:color="auto" w:fill="FFFFFF"/>
          <w:lang w:val="ru-RU"/>
        </w:rPr>
        <w:t>Отчет о движении денежных средств</w:t>
      </w:r>
      <w:r w:rsidRPr="0074597E">
        <w:rPr>
          <w:sz w:val="28"/>
          <w:szCs w:val="28"/>
          <w:lang w:val="ru-RU"/>
        </w:rPr>
        <w:t xml:space="preserve">»), </w:t>
      </w:r>
      <w:r w:rsidRPr="0074597E">
        <w:rPr>
          <w:sz w:val="28"/>
          <w:szCs w:val="28"/>
          <w:shd w:val="clear" w:color="auto" w:fill="FFFFFF"/>
          <w:lang w:val="ru-RU"/>
        </w:rPr>
        <w:t>от 27.02.2018 № 32н (</w:t>
      </w:r>
      <w:r w:rsidRPr="0074597E">
        <w:rPr>
          <w:sz w:val="28"/>
          <w:szCs w:val="28"/>
          <w:lang w:val="ru-RU"/>
        </w:rPr>
        <w:t>далее – СГС «</w:t>
      </w:r>
      <w:r w:rsidRPr="0074597E">
        <w:rPr>
          <w:sz w:val="28"/>
          <w:szCs w:val="28"/>
          <w:shd w:val="clear" w:color="auto" w:fill="FFFFFF"/>
          <w:lang w:val="ru-RU"/>
        </w:rPr>
        <w:t>Доходы</w:t>
      </w:r>
      <w:r w:rsidRPr="0074597E">
        <w:rPr>
          <w:sz w:val="28"/>
          <w:szCs w:val="28"/>
          <w:lang w:val="ru-RU"/>
        </w:rPr>
        <w:t>»</w:t>
      </w:r>
      <w:r w:rsidRPr="0074597E">
        <w:rPr>
          <w:sz w:val="28"/>
          <w:szCs w:val="28"/>
          <w:shd w:val="clear" w:color="auto" w:fill="FFFFFF"/>
          <w:lang w:val="ru-RU"/>
        </w:rPr>
        <w:t>), от 28.02.2018 № 34н (далее – СГС «Непроизведенные активы»), от 30.05.2018 №122н, №124н (</w:t>
      </w:r>
      <w:r w:rsidRPr="0074597E">
        <w:rPr>
          <w:sz w:val="28"/>
          <w:szCs w:val="28"/>
          <w:lang w:val="ru-RU"/>
        </w:rPr>
        <w:t>далее –</w:t>
      </w:r>
      <w:r w:rsidRPr="0074597E">
        <w:rPr>
          <w:sz w:val="28"/>
          <w:szCs w:val="28"/>
          <w:shd w:val="clear" w:color="auto" w:fill="FFFFFF"/>
          <w:lang w:val="ru-RU"/>
        </w:rPr>
        <w:t xml:space="preserve"> СГС «</w:t>
      </w:r>
      <w:r w:rsidRPr="0074597E">
        <w:rPr>
          <w:sz w:val="28"/>
          <w:szCs w:val="28"/>
          <w:lang w:val="ru-RU"/>
        </w:rPr>
        <w:t>Влияние изменений курсов иностранных валют», СГС «Резервы. Раскрытие информации об условных обязательствах и условных активах»), от 07.12.2018 №256н (далее СГС «Запасы»), 29.06.2018 №145н (далее – «Долгосрочные договоры»), от 15.11.2019 № 181н, 182н, 183н, 184н (далее – СГС «Нематериальные активы», СГС «Затраты по заимствованиям», СГС «Совместная деятельность», СГС «Выплаты персоналу»), от 30.06.2020 № 129н (далее - СГС «Финансовые инструменты»), от 30.10.2020 № 255н (далее - СГС «Консолидированная бухгалтерская (финансовая) отчетность»).</w:t>
      </w:r>
    </w:p>
    <w:p w:rsidR="0074597E" w:rsidRPr="0074597E" w:rsidRDefault="0074597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4597E">
        <w:rPr>
          <w:sz w:val="28"/>
          <w:szCs w:val="28"/>
          <w:lang w:val="ru-RU"/>
        </w:rPr>
        <w:lastRenderedPageBreak/>
        <w:t>- иными нормативными правовыми актами, регулирующими вопросы бухгалтерского учёта.</w:t>
      </w:r>
    </w:p>
    <w:p w:rsidR="0073378C" w:rsidRPr="0073378C" w:rsidRDefault="0073378C" w:rsidP="00662C64">
      <w:pPr>
        <w:pStyle w:val="a3"/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r w:rsidRPr="0073378C">
        <w:rPr>
          <w:color w:val="000000"/>
          <w:sz w:val="28"/>
          <w:szCs w:val="28"/>
        </w:rPr>
        <w:t xml:space="preserve">Ответственным за организацию бухгалтерского учета в учреждении и соблюдение законодательства при выполнении хозяйственных операций является генеральный директор учреждения. </w:t>
      </w:r>
    </w:p>
    <w:p w:rsidR="0072256A" w:rsidRDefault="0073378C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733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337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Бухгалтерский учет в учреждении ведется подразделением – бухгалтерией, возглавляемым главным бухгалтером. </w:t>
      </w:r>
      <w:r w:rsidRPr="00733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Сотрудники бухгалтерии руководствуются в работе положением об отделе «Бухгалтерия</w:t>
      </w:r>
      <w:r w:rsidR="007225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:rsidR="0073378C" w:rsidRDefault="0073378C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733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337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Главный бухгалтер подчиняется непосредственно руководителю учреждения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(финансовой), налоговой и статистической отчетности.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сотрудников учреждения.</w:t>
      </w:r>
    </w:p>
    <w:p w:rsidR="0044260D" w:rsidRPr="0044260D" w:rsidRDefault="00C0475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44260D"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Бухгалтерский учет ведется в электронном виде с применением программных продуктов 1С: Предприятие – Бухгалтерия государственного учреждения, 1</w:t>
      </w:r>
      <w:proofErr w:type="gramStart"/>
      <w:r w:rsidR="0044260D"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С:Предприятие</w:t>
      </w:r>
      <w:proofErr w:type="gramEnd"/>
      <w:r w:rsidR="0044260D"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Зарплата и кадры бюджетного учреждения.</w:t>
      </w:r>
    </w:p>
    <w:p w:rsidR="0044260D" w:rsidRPr="0044260D" w:rsidRDefault="00C0475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44260D"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44260D" w:rsidRPr="0044260D" w:rsidRDefault="004426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система электронного документооборота с территориальным органом Федерального казначейства (СУФД-портал);</w:t>
      </w:r>
    </w:p>
    <w:p w:rsidR="0044260D" w:rsidRPr="0044260D" w:rsidRDefault="004426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для формирования и оплаты платежных и иных документов по лицевым счетам используется подсистема исполнения бюджета программного комплекса «Исполнение бюджета» ЕГИИС УОФ Краснодарского края;</w:t>
      </w:r>
    </w:p>
    <w:p w:rsidR="0044260D" w:rsidRPr="0044260D" w:rsidRDefault="004426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передача бухгалтерской отчетности учредителю через подсистему «</w:t>
      </w:r>
      <w:r w:rsidRPr="0044260D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-консолидация» ЕГИИС УОФ Краснодарского края;</w:t>
      </w:r>
    </w:p>
    <w:p w:rsidR="0044260D" w:rsidRPr="0044260D" w:rsidRDefault="004426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передача отчетности по налогам, сборам и иным обязательным платежам в инспекцию Федеральной налоговой службы, передача отчетности в Социальный фонд России, передача отчетности в территориальный орган статистики – «Контур-Экстерн»;</w:t>
      </w:r>
    </w:p>
    <w:p w:rsidR="0044260D" w:rsidRPr="0044260D" w:rsidRDefault="004426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размещение информации о деятельности учреждения на официальном сайте bus.gov.ru;</w:t>
      </w:r>
    </w:p>
    <w:p w:rsidR="0044260D" w:rsidRPr="0044260D" w:rsidRDefault="004426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предоставление статистической отчетности учредителю через «Парус Сведение отчетности, Бюджет 8»;</w:t>
      </w:r>
    </w:p>
    <w:p w:rsidR="0044260D" w:rsidRPr="0044260D" w:rsidRDefault="004426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обмен документами с контрагентами через «Контур-</w:t>
      </w:r>
      <w:proofErr w:type="spellStart"/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Диадок</w:t>
      </w:r>
      <w:proofErr w:type="spellEnd"/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44260D" w:rsidRPr="0044260D" w:rsidRDefault="004426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для связи с кредитным учреждением по договору на обслуживание операций по зачислению заработной платы на счета сотрудников посредством банковской программы «Интернет-банк».</w:t>
      </w:r>
    </w:p>
    <w:p w:rsidR="00C0475E" w:rsidRPr="00C0475E" w:rsidRDefault="00C0475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 </w:t>
      </w:r>
      <w:r w:rsidRPr="00C04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(приложение 2 к настоящей учетной политике).</w:t>
      </w:r>
    </w:p>
    <w:p w:rsidR="00C0475E" w:rsidRPr="00C0475E" w:rsidRDefault="00C0475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4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учёте, а также достоверность содержащихся в них данных, обеспечивают сотрудники, составившие и подписавшие указанные документы.</w:t>
      </w:r>
    </w:p>
    <w:p w:rsidR="00C0475E" w:rsidRDefault="00C0475E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4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Листе ознакомления (в произвольной форме).</w:t>
      </w:r>
    </w:p>
    <w:p w:rsidR="0090728D" w:rsidRPr="0090728D" w:rsidRDefault="004A297A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="0090728D" w:rsidRPr="009072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отражении фактов хозяйственной жизни, для оформления которых не предусмотрены унифицированные формы первичных учётных документов и </w:t>
      </w:r>
      <w:r w:rsidR="0090728D" w:rsidRPr="0090728D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регистров бухгалтерского учёта, используются формы согласно приложению № 3.</w:t>
      </w:r>
    </w:p>
    <w:p w:rsidR="0090728D" w:rsidRPr="0090728D" w:rsidRDefault="0090728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</w:t>
      </w:r>
      <w:r w:rsidRPr="0090728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Применяются унифицированные формы первичных учетных документов и регистров из приказов Минфина от 30.03.2015 № 52н и от 15.04.2021 № 61н.</w:t>
      </w:r>
    </w:p>
    <w:p w:rsidR="0090728D" w:rsidRPr="0090728D" w:rsidRDefault="0090728D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</w:t>
      </w:r>
      <w:r w:rsidRPr="0090728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Учет денежных средств осуществляется в соответствии с требованиями, установленными Порядком ведения кассовых операций.</w:t>
      </w:r>
    </w:p>
    <w:p w:rsidR="0090728D" w:rsidRDefault="0090728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13</w:t>
      </w:r>
      <w:r w:rsidRPr="0090728D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</w:t>
      </w:r>
      <w:r w:rsidRPr="0090728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Лимит остатка наличных денежных средств в кассе устанавливается отдельным приказом генерального директора.</w:t>
      </w:r>
    </w:p>
    <w:p w:rsidR="00DD3B0D" w:rsidRPr="00DD3B0D" w:rsidRDefault="00DD3B0D" w:rsidP="00662C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32"/>
          <w:szCs w:val="24"/>
        </w:rPr>
      </w:pPr>
      <w:r>
        <w:rPr>
          <w:sz w:val="28"/>
          <w:szCs w:val="24"/>
        </w:rPr>
        <w:t xml:space="preserve">14. </w:t>
      </w:r>
      <w:r w:rsidRPr="00DD3B0D">
        <w:rPr>
          <w:sz w:val="28"/>
          <w:szCs w:val="24"/>
        </w:rPr>
        <w:t>Внутренний контроль кассы, осуществляется комиссией для проведения проверки денежных средств в установленных случаях:</w:t>
      </w:r>
    </w:p>
    <w:p w:rsidR="00DD3B0D" w:rsidRPr="00DD3B0D" w:rsidRDefault="00DD3B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DD3B0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ежеквартально;</w:t>
      </w:r>
    </w:p>
    <w:p w:rsidR="00DD3B0D" w:rsidRPr="00DD3B0D" w:rsidRDefault="00DD3B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D3B0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 при смене кассира.</w:t>
      </w:r>
    </w:p>
    <w:p w:rsidR="00DD3B0D" w:rsidRPr="00DD3B0D" w:rsidRDefault="00DD3B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DD3B0D">
        <w:rPr>
          <w:rFonts w:ascii="Times New Roman" w:eastAsia="Times New Roman" w:hAnsi="Times New Roman" w:cs="Times New Roman"/>
          <w:sz w:val="28"/>
          <w:lang w:val="ru-RU" w:eastAsia="ru-RU"/>
        </w:rPr>
        <w:t>Состав инвентаризационной комиссии для проведения проверки денежных средств утверждается отдельным приказом.</w:t>
      </w:r>
    </w:p>
    <w:p w:rsidR="00DD3B0D" w:rsidRPr="00DD3B0D" w:rsidRDefault="00DD3B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15. </w:t>
      </w:r>
      <w:r w:rsidRPr="00DD3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Закупка товаров, работ и услуг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D3B0D" w:rsidRPr="00DD3B0D" w:rsidRDefault="00DD3B0D" w:rsidP="00662C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  <w:r>
        <w:rPr>
          <w:sz w:val="28"/>
          <w:szCs w:val="24"/>
        </w:rPr>
        <w:t xml:space="preserve">16. </w:t>
      </w:r>
      <w:r w:rsidRPr="00DD3B0D">
        <w:rPr>
          <w:sz w:val="28"/>
          <w:szCs w:val="28"/>
        </w:rPr>
        <w:t xml:space="preserve">Денежные средства выдаются под отчет на командировочные расходы на основании служебной записки о направлении в служебную командировку, </w:t>
      </w:r>
      <w:r w:rsidRPr="00DD3B0D">
        <w:rPr>
          <w:sz w:val="28"/>
          <w:szCs w:val="28"/>
        </w:rPr>
        <w:lastRenderedPageBreak/>
        <w:t>приказа генерального директора о направлении в командировку, Решения о командировании (ф. 0504512, ф. 0504515), изменения Решения о командировании (ф. 0504513, ф. 0504516), утвержденных генеральным директором.</w:t>
      </w:r>
    </w:p>
    <w:p w:rsidR="00DD3B0D" w:rsidRDefault="00DD3B0D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Pr="00DD3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Денежные средства выдаются под отчет на хозяйственные расходы на основании заявки-обоснования закупки товаров, работ, услуг малого объема (ф.0510521), утвержденной генеральным директором.</w:t>
      </w:r>
    </w:p>
    <w:p w:rsidR="00CA3C48" w:rsidRPr="00CA3C48" w:rsidRDefault="00CA3C48" w:rsidP="00662C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CA3C48">
        <w:rPr>
          <w:sz w:val="28"/>
          <w:szCs w:val="28"/>
        </w:rPr>
        <w:t xml:space="preserve">Инвентаризация имущества и обязательств (в т. ч. числящихся на </w:t>
      </w:r>
      <w:proofErr w:type="spellStart"/>
      <w:r w:rsidRPr="00CA3C48">
        <w:rPr>
          <w:sz w:val="28"/>
          <w:szCs w:val="28"/>
        </w:rPr>
        <w:t>забалансовых</w:t>
      </w:r>
      <w:proofErr w:type="spellEnd"/>
      <w:r w:rsidRPr="00CA3C48">
        <w:rPr>
          <w:sz w:val="28"/>
          <w:szCs w:val="28"/>
        </w:rPr>
        <w:t xml:space="preserve"> счетах), а также финансовых результатов (в т. ч. расходов будущих периодов и резервов) проводит комиссия, утвержденная приказом генерального директора.</w:t>
      </w:r>
    </w:p>
    <w:p w:rsidR="00CA3C48" w:rsidRPr="00CA3C48" w:rsidRDefault="00CA3C48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3C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Порядок проведения инвентаризации активов и обязательств приведен в приложении № 6 к Учетной политике.</w:t>
      </w:r>
    </w:p>
    <w:p w:rsidR="00CA3C48" w:rsidRPr="00CA3C48" w:rsidRDefault="00CA3C48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3C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задачи Комиссии, организация деятельности Комиссии, полномочия, порядок работы и принятия решений, порядок оформления результатов инвентаризации, права и ответственность Комиссии установлены в Положении об инвентаризационной комиссии Учреждения (приложение № 7).</w:t>
      </w:r>
    </w:p>
    <w:p w:rsidR="002811CA" w:rsidRPr="002811CA" w:rsidRDefault="00CA3C48" w:rsidP="00662C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19. </w:t>
      </w:r>
      <w:r w:rsidR="002811CA" w:rsidRPr="002811CA">
        <w:rPr>
          <w:sz w:val="28"/>
          <w:szCs w:val="24"/>
        </w:rPr>
        <w:t>Бухгалтерская (финансовая)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 0503760).</w:t>
      </w:r>
    </w:p>
    <w:p w:rsidR="00FB0CF9" w:rsidRPr="00FB0CF9" w:rsidRDefault="002811CA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20. </w:t>
      </w:r>
      <w:r w:rsidR="00FB0CF9" w:rsidRPr="00FB0C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Введение билетного хозяйства в </w:t>
      </w:r>
      <w:r w:rsidR="00FB0CF9" w:rsidRPr="00FB0CF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учреждении «Краснодарский краевой театр кукол» разработано в соответствии с</w:t>
      </w:r>
      <w:r w:rsidR="00FB0CF9" w:rsidRPr="00FB0C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Российской Федерации от 9 октября 1992 № 3612-1 «Основы законодательства Российской Федерации о культуре» (с изменениями и дополнениями), Гражданским кодексом Российской Федерации, Налоговым кодексом Российской Федерации, Законом Российской Федерации от 07.02.1992 № 2300-1 «О защите прав потребителей» (с изменениями и дополнениями), Федеральным законом от 22.05.2003 № 54-ФЗ «О применении контрольно-кассовой техники при осуществлении расчетов в Российской Федерации», Положением о театре в Российской Федерации, утвержденного Постановлением Правительства РФ от 25.03.1999 № 329 «О государственной поддержке театрального искусства в Российской Федерации», Методическими указаниями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 (письмо Минкультуры России от 15.07.2009 № 29-01-39/04) и регламентирует порядок обращения с билетами на мероприятия, проводимые учреждением.</w:t>
      </w:r>
    </w:p>
    <w:p w:rsidR="00FB0CF9" w:rsidRDefault="00FB0CF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0C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</w:t>
      </w:r>
      <w:r w:rsidR="006B4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FB0C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FB0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Форма билета на проводимые учреждением зрелищные мероприятия как бланк строгой отчетности утверждается локальным нормативным актом учреждения в соответствии с положениями приказа Министерства культуры РФ от 29 июня 2020 г. № 702 «Об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отчетности». </w:t>
      </w:r>
      <w:r w:rsidRPr="00FB0C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Билет формируется с использованием автоматизированных систем (электронный формат билета).</w:t>
      </w:r>
    </w:p>
    <w:p w:rsidR="003C48DA" w:rsidRPr="003C48DA" w:rsidRDefault="006B4070" w:rsidP="00662C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3C48DA" w:rsidRPr="003C48DA">
        <w:rPr>
          <w:sz w:val="28"/>
          <w:szCs w:val="28"/>
        </w:rPr>
        <w:t xml:space="preserve">Учреждение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месяцев, а также инвентарь. </w:t>
      </w:r>
    </w:p>
    <w:p w:rsidR="003C48DA" w:rsidRPr="003C48DA" w:rsidRDefault="003C48DA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C48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Первоначальной стоимостью основных средств признается сумма фактических вложений в приобретение, сооружение и изготовление объектов основных средств.</w:t>
      </w:r>
    </w:p>
    <w:p w:rsidR="003C48DA" w:rsidRPr="003C48DA" w:rsidRDefault="003C48DA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  <w:r w:rsidRPr="003C48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48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3C48D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Каждому инвентарному объекту основных средств (группе объектов) в момент принятия к учету открывается Инвентарная карточка учета нефинансовых активов (ф. </w:t>
      </w:r>
      <w:hyperlink r:id="rId5" w:anchor="/document/99/603561707/XA00MC62N0/" w:history="1">
        <w:r w:rsidRPr="003C48DA">
          <w:rPr>
            <w:rFonts w:ascii="Times New Roman" w:eastAsia="Times New Roman" w:hAnsi="Times New Roman" w:cs="Times New Roman"/>
            <w:color w:val="000000"/>
            <w:sz w:val="28"/>
            <w:szCs w:val="24"/>
            <w:lang w:val="ru-RU" w:eastAsia="ru-RU"/>
          </w:rPr>
          <w:t>0509215</w:t>
        </w:r>
      </w:hyperlink>
      <w:r w:rsidRPr="003C48D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) (Инвентарная карточка группового учета нефинансовых активов (ф. </w:t>
      </w:r>
      <w:hyperlink r:id="rId6" w:anchor="/document/99/603561707/XA00MCK2NF/" w:history="1">
        <w:r w:rsidRPr="003C48DA">
          <w:rPr>
            <w:rFonts w:ascii="Times New Roman" w:eastAsia="Times New Roman" w:hAnsi="Times New Roman" w:cs="Times New Roman"/>
            <w:color w:val="000000"/>
            <w:sz w:val="28"/>
            <w:szCs w:val="24"/>
            <w:lang w:val="ru-RU" w:eastAsia="ru-RU"/>
          </w:rPr>
          <w:t>0509216</w:t>
        </w:r>
      </w:hyperlink>
      <w:r w:rsidRPr="003C48D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) присваивается инвентарный порядковый номер.</w:t>
      </w:r>
    </w:p>
    <w:p w:rsidR="00D45712" w:rsidRDefault="00045188" w:rsidP="00662C64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24. </w:t>
      </w:r>
      <w:r w:rsidR="00D45712" w:rsidRPr="00D4571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Каждому инвентарному объекту непроизведенных активов в момент принятия к учету и открытия Инвентарной карточки учета нефинансовых активов (ф. </w:t>
      </w:r>
      <w:hyperlink r:id="rId7" w:anchor="/document/99/603561707/XA00MC62N0/" w:history="1">
        <w:r w:rsidR="00D45712" w:rsidRPr="00D45712">
          <w:rPr>
            <w:rFonts w:ascii="Times New Roman" w:eastAsia="Times New Roman" w:hAnsi="Times New Roman" w:cs="Times New Roman"/>
            <w:color w:val="000000"/>
            <w:sz w:val="28"/>
            <w:szCs w:val="24"/>
            <w:lang w:val="ru-RU" w:eastAsia="ru-RU"/>
          </w:rPr>
          <w:t>0509215</w:t>
        </w:r>
      </w:hyperlink>
      <w:r w:rsidR="00D45712" w:rsidRPr="00D4571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) </w:t>
      </w:r>
      <w:r w:rsidR="00D45712" w:rsidRPr="00D4571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присваивается инвентарный номер.</w:t>
      </w:r>
    </w:p>
    <w:p w:rsidR="002612FF" w:rsidRPr="002612FF" w:rsidRDefault="00D45712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25. </w:t>
      </w:r>
      <w:r w:rsidR="002612FF" w:rsidRPr="002612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612FF"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Учреждение учитывает в составе материальных запасов материальные объекты, указанные в пунктах 98–99 Инструкции № 157н.</w:t>
      </w:r>
    </w:p>
    <w:p w:rsidR="002612FF" w:rsidRPr="002612FF" w:rsidRDefault="002612FF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Единица учета материальных запасов в учреждении – номенклатурная (реестровая) единица. Исключения:</w:t>
      </w:r>
    </w:p>
    <w:p w:rsidR="002612FF" w:rsidRPr="002612FF" w:rsidRDefault="002612FF" w:rsidP="00662C64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группы материальных запасов, характеристики которых совпадают, </w:t>
      </w:r>
      <w:proofErr w:type="gramStart"/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например</w:t>
      </w:r>
      <w:proofErr w:type="gramEnd"/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офисная бумага одного формата с одинаковым количеством листов в пачке, кнопки канцелярские с одинаковыми диаметром и количеством штук в коробке и т.д. Единица учета таких материальных запасов – однородная (реестровая) группа запасов;</w:t>
      </w:r>
    </w:p>
    <w:p w:rsidR="002612FF" w:rsidRPr="002612FF" w:rsidRDefault="002612FF" w:rsidP="00662C64">
      <w:pPr>
        <w:spacing w:before="0" w:beforeAutospacing="0" w:after="0" w:afterAutospacing="0"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материальные запасы с ограниченным сроком годности – продукты питания, медикаменты и др., а также товары для продажи. Единица учета таких материальных запасов – партия.</w:t>
      </w:r>
    </w:p>
    <w:p w:rsidR="002612FF" w:rsidRPr="002612FF" w:rsidRDefault="002612FF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Решение о применении единиц учета «однородная (реестровая) группа запасов» и «партия» принимает бухгалтер на основе своего профессионального суждения.</w:t>
      </w:r>
    </w:p>
    <w:p w:rsidR="002612FF" w:rsidRPr="002612FF" w:rsidRDefault="002612FF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Списание материальных запасов производится по средней фактической стоимости.</w:t>
      </w:r>
    </w:p>
    <w:p w:rsidR="002612FF" w:rsidRDefault="002612FF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</w:t>
      </w:r>
      <w:r w:rsidRPr="0026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2612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Нормы на расходы горюче-смазочных материалов (ГСМ) утверждаются приказом генерального директора учреждения. ГСМ списывается на расходы по фактическому расходу на основании путевых листов с указанием сотых долей литров, но не выше норм, установленных приказом генерального директора учреждения. </w:t>
      </w:r>
    </w:p>
    <w:p w:rsidR="005C6A12" w:rsidRPr="005C6A12" w:rsidRDefault="005C6A12" w:rsidP="00662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28. </w:t>
      </w:r>
      <w:r w:rsidRPr="005C6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Учёт на </w:t>
      </w:r>
      <w:proofErr w:type="spellStart"/>
      <w:r w:rsidRPr="005C6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забалансовых</w:t>
      </w:r>
      <w:proofErr w:type="spellEnd"/>
      <w:r w:rsidRPr="005C6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счетах ведётся с использованием рабочего Плана счетов бухгалтерского учёта согласно приложению № 1.</w:t>
      </w:r>
    </w:p>
    <w:p w:rsidR="0077151A" w:rsidRPr="0077151A" w:rsidRDefault="002830EF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29. </w:t>
      </w:r>
      <w:r w:rsidR="0077151A" w:rsidRPr="0077151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Возмещение в денежной форме виновными лицами ущерба, причиненного нефинансовым активам, отражается по коду вида деятельности «2» - приносящая доход деятельность.</w:t>
      </w:r>
    </w:p>
    <w:p w:rsidR="0077151A" w:rsidRPr="0077151A" w:rsidRDefault="0077151A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77151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Возмещение ущерба, причиненного нефинансовым активам, в натуральной форме отражается по тому же коду вида финансового обеспечения (деятельности), по которому осуществлялся их учет.</w:t>
      </w:r>
    </w:p>
    <w:p w:rsidR="0077151A" w:rsidRPr="0077151A" w:rsidRDefault="0077151A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77151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Поступление денежных средств от виновных лиц в возмещение ущерба, причиненного финансовым активам, отражается по тому же коду вида финансового обеспечения (деятельности), по которому осуществлялся их учет.</w:t>
      </w:r>
    </w:p>
    <w:p w:rsidR="00914ED7" w:rsidRPr="00914ED7" w:rsidRDefault="0077151A" w:rsidP="00662C6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30. </w:t>
      </w:r>
      <w:r w:rsidR="00914ED7" w:rsidRPr="00914ED7">
        <w:rPr>
          <w:color w:val="000000"/>
          <w:sz w:val="28"/>
          <w:szCs w:val="28"/>
        </w:rPr>
        <w:t>Учёт расходов по формированию себестоимости работ, услуг ведётся раздельно по группам видов услуг (работ):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7763"/>
      </w:tblGrid>
      <w:tr w:rsidR="00914ED7" w:rsidRPr="00914ED7" w:rsidTr="00601D01">
        <w:trPr>
          <w:trHeight w:val="246"/>
        </w:trPr>
        <w:tc>
          <w:tcPr>
            <w:tcW w:w="1568" w:type="dxa"/>
            <w:shd w:val="clear" w:color="auto" w:fill="D99594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№ п/п</w:t>
            </w:r>
          </w:p>
        </w:tc>
        <w:tc>
          <w:tcPr>
            <w:tcW w:w="7763" w:type="dxa"/>
            <w:shd w:val="clear" w:color="auto" w:fill="D99594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Наименование государственной услуги (работы)</w:t>
            </w:r>
          </w:p>
        </w:tc>
      </w:tr>
      <w:tr w:rsidR="00914ED7" w:rsidRPr="00914ED7" w:rsidTr="00601D01">
        <w:trPr>
          <w:trHeight w:val="253"/>
        </w:trPr>
        <w:tc>
          <w:tcPr>
            <w:tcW w:w="1568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7763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Показ спектаклей (театральных постановок) на стационаре</w:t>
            </w:r>
          </w:p>
        </w:tc>
      </w:tr>
      <w:tr w:rsidR="00914ED7" w:rsidRPr="00914ED7" w:rsidTr="00601D01">
        <w:trPr>
          <w:trHeight w:val="172"/>
        </w:trPr>
        <w:tc>
          <w:tcPr>
            <w:tcW w:w="1568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7763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Показ спектаклей (театральных постановок) на стационаре бесплатная</w:t>
            </w:r>
          </w:p>
        </w:tc>
      </w:tr>
      <w:tr w:rsidR="00914ED7" w:rsidRPr="00914ED7" w:rsidTr="00601D01">
        <w:trPr>
          <w:trHeight w:val="138"/>
        </w:trPr>
        <w:tc>
          <w:tcPr>
            <w:tcW w:w="1568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7763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Показ спектаклей (театральных постановок) на выезде</w:t>
            </w:r>
          </w:p>
        </w:tc>
      </w:tr>
      <w:tr w:rsidR="00914ED7" w:rsidRPr="00914ED7" w:rsidTr="00601D01">
        <w:trPr>
          <w:trHeight w:val="149"/>
        </w:trPr>
        <w:tc>
          <w:tcPr>
            <w:tcW w:w="1568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4</w:t>
            </w:r>
          </w:p>
        </w:tc>
        <w:tc>
          <w:tcPr>
            <w:tcW w:w="7763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Показ спектаклей (театральных постановок) на гастролях</w:t>
            </w:r>
          </w:p>
        </w:tc>
      </w:tr>
      <w:tr w:rsidR="00914ED7" w:rsidRPr="00914ED7" w:rsidTr="00601D01">
        <w:trPr>
          <w:trHeight w:val="149"/>
        </w:trPr>
        <w:tc>
          <w:tcPr>
            <w:tcW w:w="1568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5</w:t>
            </w:r>
          </w:p>
        </w:tc>
        <w:tc>
          <w:tcPr>
            <w:tcW w:w="7763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Организация и проведение культурно-массовых мероприятий </w:t>
            </w:r>
          </w:p>
        </w:tc>
      </w:tr>
      <w:tr w:rsidR="00914ED7" w:rsidRPr="00914ED7" w:rsidTr="00601D01">
        <w:trPr>
          <w:trHeight w:val="161"/>
        </w:trPr>
        <w:tc>
          <w:tcPr>
            <w:tcW w:w="1568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6</w:t>
            </w:r>
          </w:p>
        </w:tc>
        <w:tc>
          <w:tcPr>
            <w:tcW w:w="7763" w:type="dxa"/>
          </w:tcPr>
          <w:p w:rsidR="00914ED7" w:rsidRPr="00914ED7" w:rsidRDefault="00914ED7" w:rsidP="00662C64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14ED7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Создание спектаклей</w:t>
            </w:r>
          </w:p>
        </w:tc>
      </w:tr>
    </w:tbl>
    <w:p w:rsidR="00914ED7" w:rsidRPr="00914ED7" w:rsidRDefault="00914ED7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28"/>
          <w:lang w:val="ru-RU" w:eastAsia="ru-RU"/>
        </w:rPr>
      </w:pPr>
    </w:p>
    <w:p w:rsidR="00914ED7" w:rsidRPr="00914ED7" w:rsidRDefault="00914ED7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14ED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Pr="00914ED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рамках выполнения государственного задания на счете 4.109.60.000;</w:t>
      </w:r>
    </w:p>
    <w:p w:rsidR="00914ED7" w:rsidRPr="00914ED7" w:rsidRDefault="00914ED7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14ED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 рамках приносящей доход деятельности на счете 2.109.60.000.</w:t>
      </w:r>
    </w:p>
    <w:p w:rsidR="00680C99" w:rsidRPr="00680C99" w:rsidRDefault="009648FC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31. </w:t>
      </w:r>
      <w:r w:rsidR="00680C99"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Событиями после отчетной даты признаются: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события, которые подтверждают существовавшие на отчетную дату хозяйственные условия Учреждения. Учреждение применяет перечень таких событий, приведенный в пункте 7 СГС «</w:t>
      </w:r>
      <w:r w:rsidRPr="00680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События после отчетной даты», утвержденного приказом Министерства финансов Российской Федерации от 30.12.2017 № 275н (далее – СГС «События после отчетной даты».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события, которые указывают на условия хозяйственной деятельности, факты хозяйственной жизни или обстоятельства, возникшие после отчетной даты. Учреждение применяет перечень таких событий, приведенный в пункте 7 СГС «</w:t>
      </w:r>
      <w:r w:rsidRPr="00680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События после отчетной даты».);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680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- события, которые указывают на условия хозяйственной деятельности, факты хозяйственной деятельности или обстоятельства, возникшие после отчетной даты. Учреждение применяет перечень таких событий, приведенных в пункте </w:t>
      </w: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 СГС «</w:t>
      </w:r>
      <w:r w:rsidRPr="00680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События после отчетной даты»;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680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- иные события, не указанные в пункте </w:t>
      </w: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 СГС «</w:t>
      </w:r>
      <w:r w:rsidRPr="00680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События после отчетной даты», отвечающие критериям существенности на основе профессионального суждения главного бухгалтера.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32. </w:t>
      </w: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События отражается в учете и отчетности в следующем порядке: 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дополнительная бухгалтерская запись, которая отражает это </w:t>
      </w:r>
      <w:proofErr w:type="gramStart"/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событие,  либо</w:t>
      </w:r>
      <w:proofErr w:type="gramEnd"/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запись способом «красное </w:t>
      </w:r>
      <w:proofErr w:type="spellStart"/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сторно</w:t>
      </w:r>
      <w:proofErr w:type="spellEnd"/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 (или) дополнительная бухгалтерская запись на сумму, отраженную в бухгалтерском учете.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680C99" w:rsidRPr="00680C99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0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разделе 5 текстовой части пояснительной записки раскрывается информация о Событии и его оценке в денежном выражении.</w:t>
      </w:r>
    </w:p>
    <w:p w:rsidR="00126C40" w:rsidRPr="00126C40" w:rsidRDefault="00680C99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33. </w:t>
      </w:r>
      <w:r w:rsidR="00126C40" w:rsidRPr="00126C4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 смене генерального директора или главного бухгалтера учреждения (далее — увольняемые лица) они обязаны в рамках передачи дел заместителю, новому должностному лицу, иному уполномоченному должностному лицу учреждения (далее — уполномоченное лицо) передать документы бухгалтерского учета, а также печати и штампы, хранящиеся в бухгалтерии.</w:t>
      </w:r>
    </w:p>
    <w:p w:rsidR="00126C40" w:rsidRPr="00126C40" w:rsidRDefault="00126C40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34. </w:t>
      </w:r>
      <w:r w:rsidRPr="00126C4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Передача документов бухучета, печатей и штампов осуществляется при участии комиссии, создаваемой в учреждении, с составлением акта приема-передачи при личном присутствии увольняемого лица.</w:t>
      </w:r>
    </w:p>
    <w:p w:rsidR="00126C40" w:rsidRPr="00126C40" w:rsidRDefault="00126C40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26C4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:rsidR="00126C40" w:rsidRPr="00126C40" w:rsidRDefault="00126C40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26C4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Акт приема-передачи подписывается уполномоченным лицом, принимающим дела, и членами комиссии.</w:t>
      </w:r>
    </w:p>
    <w:p w:rsidR="00126C40" w:rsidRPr="00126C40" w:rsidRDefault="00126C40" w:rsidP="00662C6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26C4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При необходимости члены комиссии включают в акт свои рекомендации и предложения, которые возникли при приеме-передаче дел.</w:t>
      </w:r>
    </w:p>
    <w:bookmarkEnd w:id="0"/>
    <w:p w:rsidR="00AE0149" w:rsidRPr="002612FF" w:rsidRDefault="00AE0149" w:rsidP="00261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45712" w:rsidRPr="00D45712" w:rsidRDefault="00D45712" w:rsidP="00D4571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:rsidR="006B4070" w:rsidRPr="00FB0CF9" w:rsidRDefault="006B4070" w:rsidP="00FB0CF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3C48" w:rsidRPr="00DD3B0D" w:rsidRDefault="00CA3C48" w:rsidP="00DD3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3B0D" w:rsidRPr="0090728D" w:rsidRDefault="00DD3B0D" w:rsidP="00907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4A297A" w:rsidRPr="00C0475E" w:rsidRDefault="004A297A" w:rsidP="00C0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4260D" w:rsidRDefault="0044260D" w:rsidP="00733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2DAE" w:rsidRPr="0073378C" w:rsidRDefault="00A32DAE" w:rsidP="00733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597E" w:rsidRPr="0073378C" w:rsidRDefault="0074597E" w:rsidP="0073378C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88017C" w:rsidRPr="00B928AA" w:rsidRDefault="0088017C" w:rsidP="00D16BE9">
      <w:pPr>
        <w:spacing w:before="0" w:beforeAutospacing="0" w:after="0" w:afterAutospacing="0" w:line="276" w:lineRule="auto"/>
        <w:jc w:val="both"/>
        <w:rPr>
          <w:color w:val="000000"/>
          <w:sz w:val="28"/>
          <w:lang w:val="ru-RU"/>
        </w:rPr>
      </w:pPr>
    </w:p>
    <w:sectPr w:rsidR="0088017C" w:rsidRPr="00B928AA" w:rsidSect="005667A2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42264"/>
    <w:multiLevelType w:val="hybridMultilevel"/>
    <w:tmpl w:val="A336F64A"/>
    <w:lvl w:ilvl="0" w:tplc="772E85B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D20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07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37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E67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C1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F2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E5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35ED6"/>
    <w:multiLevelType w:val="hybridMultilevel"/>
    <w:tmpl w:val="26E6D258"/>
    <w:lvl w:ilvl="0" w:tplc="CD92FE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D4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20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61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4A25"/>
    <w:rsid w:val="00013C92"/>
    <w:rsid w:val="000240D4"/>
    <w:rsid w:val="00045188"/>
    <w:rsid w:val="00051B16"/>
    <w:rsid w:val="000A7A9F"/>
    <w:rsid w:val="00116355"/>
    <w:rsid w:val="00126C40"/>
    <w:rsid w:val="001715F5"/>
    <w:rsid w:val="00181A84"/>
    <w:rsid w:val="001C5B34"/>
    <w:rsid w:val="001F2CA4"/>
    <w:rsid w:val="002352EB"/>
    <w:rsid w:val="002612FF"/>
    <w:rsid w:val="002811CA"/>
    <w:rsid w:val="002830EF"/>
    <w:rsid w:val="002D33B1"/>
    <w:rsid w:val="002D3591"/>
    <w:rsid w:val="003514A0"/>
    <w:rsid w:val="0035732C"/>
    <w:rsid w:val="003C48DA"/>
    <w:rsid w:val="003E17D4"/>
    <w:rsid w:val="00401423"/>
    <w:rsid w:val="0044260D"/>
    <w:rsid w:val="00480391"/>
    <w:rsid w:val="004A297A"/>
    <w:rsid w:val="004F7E17"/>
    <w:rsid w:val="005076CF"/>
    <w:rsid w:val="005417CF"/>
    <w:rsid w:val="005667A2"/>
    <w:rsid w:val="005A05CE"/>
    <w:rsid w:val="005C6A12"/>
    <w:rsid w:val="005D6622"/>
    <w:rsid w:val="005E6098"/>
    <w:rsid w:val="00625347"/>
    <w:rsid w:val="00630074"/>
    <w:rsid w:val="00642617"/>
    <w:rsid w:val="00653AF6"/>
    <w:rsid w:val="00662C64"/>
    <w:rsid w:val="00680C99"/>
    <w:rsid w:val="0069714F"/>
    <w:rsid w:val="006B4070"/>
    <w:rsid w:val="006D0D72"/>
    <w:rsid w:val="0072256A"/>
    <w:rsid w:val="0073378C"/>
    <w:rsid w:val="0074597E"/>
    <w:rsid w:val="007573E8"/>
    <w:rsid w:val="0077151A"/>
    <w:rsid w:val="007D2E42"/>
    <w:rsid w:val="00843CA5"/>
    <w:rsid w:val="00850B01"/>
    <w:rsid w:val="0088017C"/>
    <w:rsid w:val="00885A2F"/>
    <w:rsid w:val="008D06F6"/>
    <w:rsid w:val="00903CD0"/>
    <w:rsid w:val="0090728D"/>
    <w:rsid w:val="00914ED7"/>
    <w:rsid w:val="009360C9"/>
    <w:rsid w:val="00946A9C"/>
    <w:rsid w:val="009648FC"/>
    <w:rsid w:val="00994592"/>
    <w:rsid w:val="00A0734F"/>
    <w:rsid w:val="00A32DAE"/>
    <w:rsid w:val="00A5407D"/>
    <w:rsid w:val="00A7008D"/>
    <w:rsid w:val="00A745E7"/>
    <w:rsid w:val="00AD203C"/>
    <w:rsid w:val="00AD460C"/>
    <w:rsid w:val="00AE0149"/>
    <w:rsid w:val="00B438FA"/>
    <w:rsid w:val="00B57CFF"/>
    <w:rsid w:val="00B73A5A"/>
    <w:rsid w:val="00B928AA"/>
    <w:rsid w:val="00BB79B4"/>
    <w:rsid w:val="00BD5CB2"/>
    <w:rsid w:val="00BE617B"/>
    <w:rsid w:val="00C0475E"/>
    <w:rsid w:val="00CA3C48"/>
    <w:rsid w:val="00CD41A8"/>
    <w:rsid w:val="00CF383E"/>
    <w:rsid w:val="00D16BE9"/>
    <w:rsid w:val="00D33109"/>
    <w:rsid w:val="00D45712"/>
    <w:rsid w:val="00D9690B"/>
    <w:rsid w:val="00DD3B0D"/>
    <w:rsid w:val="00DF003B"/>
    <w:rsid w:val="00E438A1"/>
    <w:rsid w:val="00E90ED5"/>
    <w:rsid w:val="00F01E19"/>
    <w:rsid w:val="00F46BB6"/>
    <w:rsid w:val="00F56FBC"/>
    <w:rsid w:val="00FB0CF9"/>
    <w:rsid w:val="00FB33F5"/>
    <w:rsid w:val="00FB5293"/>
    <w:rsid w:val="00FC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2E90"/>
  <w15:docId w15:val="{0E8D2ABF-94F0-4D04-AA61-B6D8085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D06F6"/>
    <w:rPr>
      <w:rFonts w:ascii="Times New Roman" w:eastAsia="Times New Roman" w:hAnsi="Times New Roman" w:cs="Times New Roman"/>
      <w:lang w:val="ru-RU" w:eastAsia="ru-RU"/>
    </w:rPr>
  </w:style>
  <w:style w:type="character" w:customStyle="1" w:styleId="a4">
    <w:name w:val="Гипертекстовая ссылка"/>
    <w:basedOn w:val="a0"/>
    <w:uiPriority w:val="99"/>
    <w:rsid w:val="00DF003B"/>
    <w:rPr>
      <w:rFonts w:cs="Times New Roman"/>
      <w:color w:val="106BBE"/>
    </w:rPr>
  </w:style>
  <w:style w:type="character" w:customStyle="1" w:styleId="Spanlink">
    <w:name w:val="Span_link"/>
    <w:basedOn w:val="a0"/>
    <w:rsid w:val="00BE617B"/>
    <w:rPr>
      <w:color w:val="008200"/>
    </w:rPr>
  </w:style>
  <w:style w:type="character" w:customStyle="1" w:styleId="a5">
    <w:name w:val="Цветовое выделение"/>
    <w:uiPriority w:val="99"/>
    <w:rsid w:val="002352EB"/>
    <w:rPr>
      <w:b/>
      <w:color w:val="26282F"/>
    </w:rPr>
  </w:style>
  <w:style w:type="character" w:styleId="a6">
    <w:name w:val="Hyperlink"/>
    <w:basedOn w:val="a0"/>
    <w:uiPriority w:val="99"/>
    <w:unhideWhenUsed/>
    <w:rsid w:val="002352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FEA</cp:lastModifiedBy>
  <cp:revision>80</cp:revision>
  <dcterms:created xsi:type="dcterms:W3CDTF">2011-11-02T04:15:00Z</dcterms:created>
  <dcterms:modified xsi:type="dcterms:W3CDTF">2025-09-12T12:35:00Z</dcterms:modified>
</cp:coreProperties>
</file>